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rPr>
        <w:t>3</w:t>
      </w:r>
    </w:p>
    <w:p>
      <w:pPr>
        <w:spacing w:line="440" w:lineRule="exact"/>
        <w:jc w:val="center"/>
        <w:rPr>
          <w:rFonts w:ascii="仿宋" w:hAnsi="仿宋" w:eastAsia="仿宋" w:cs="宋体"/>
          <w:b/>
          <w:kern w:val="0"/>
          <w:sz w:val="32"/>
          <w:szCs w:val="32"/>
        </w:rPr>
      </w:pPr>
      <w:bookmarkStart w:id="0" w:name="_GoBack"/>
      <w:r>
        <w:rPr>
          <w:rFonts w:hint="eastAsia" w:ascii="仿宋" w:hAnsi="仿宋" w:eastAsia="仿宋" w:cs="宋体"/>
          <w:b/>
          <w:kern w:val="0"/>
          <w:sz w:val="32"/>
          <w:szCs w:val="32"/>
        </w:rPr>
        <w:t>思政课程网上教学</w:t>
      </w:r>
      <w:r>
        <w:rPr>
          <w:rFonts w:ascii="仿宋" w:hAnsi="仿宋" w:eastAsia="仿宋" w:cs="宋体"/>
          <w:b/>
          <w:kern w:val="0"/>
          <w:sz w:val="32"/>
          <w:szCs w:val="32"/>
        </w:rPr>
        <w:t>基础数据</w:t>
      </w:r>
      <w:bookmarkEnd w:id="0"/>
    </w:p>
    <w:p>
      <w:pPr>
        <w:spacing w:line="440" w:lineRule="exact"/>
        <w:jc w:val="center"/>
        <w:rPr>
          <w:rFonts w:ascii="仿宋" w:hAnsi="仿宋" w:eastAsia="仿宋" w:cs="宋体"/>
          <w:kern w:val="0"/>
          <w:sz w:val="30"/>
          <w:szCs w:val="30"/>
        </w:rPr>
      </w:pPr>
    </w:p>
    <w:tbl>
      <w:tblPr>
        <w:tblStyle w:val="5"/>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161"/>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681" w:type="dxa"/>
            <w:tcBorders>
              <w:top w:val="single" w:color="auto" w:sz="4" w:space="0"/>
              <w:left w:val="single" w:color="auto" w:sz="4" w:space="0"/>
              <w:bottom w:val="single" w:color="auto" w:sz="4" w:space="0"/>
              <w:right w:val="single" w:color="auto" w:sz="4" w:space="0"/>
            </w:tcBorders>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序号</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hint="eastAsia" w:ascii="仿宋" w:hAnsi="仿宋" w:eastAsia="仿宋"/>
                <w:color w:val="000000"/>
                <w:sz w:val="24"/>
                <w:szCs w:val="24"/>
              </w:rPr>
              <w:t>指标</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hint="eastAsia" w:ascii="仿宋" w:hAnsi="仿宋" w:eastAsia="仿宋"/>
                <w:color w:val="000000"/>
                <w:sz w:val="24"/>
                <w:szCs w:val="24"/>
              </w:rPr>
              <w:t>指标</w:t>
            </w:r>
            <w:r>
              <w:rPr>
                <w:rFonts w:ascii="仿宋" w:hAnsi="仿宋" w:eastAsia="仿宋"/>
                <w:color w:val="000000"/>
                <w:sz w:val="24"/>
                <w:szCs w:val="24"/>
              </w:rPr>
              <w:t>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1</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olor w:val="000000"/>
                <w:sz w:val="24"/>
                <w:szCs w:val="24"/>
              </w:rPr>
            </w:pPr>
            <w:r>
              <w:rPr>
                <w:rFonts w:hint="eastAsia" w:ascii="仿宋" w:hAnsi="仿宋" w:eastAsia="仿宋"/>
                <w:color w:val="000000"/>
                <w:sz w:val="24"/>
                <w:szCs w:val="24"/>
              </w:rPr>
              <w:t>课程生师比</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olor w:val="000000"/>
                <w:sz w:val="24"/>
                <w:szCs w:val="24"/>
              </w:rPr>
            </w:pPr>
            <w:r>
              <w:rPr>
                <w:rFonts w:hint="eastAsia" w:ascii="仿宋" w:hAnsi="仿宋" w:eastAsia="仿宋"/>
                <w:color w:val="000000"/>
                <w:sz w:val="24"/>
                <w:szCs w:val="24"/>
              </w:rPr>
              <w:t>该课程学习网有选课学生总人数/该课程学习网上线教师总人数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2</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课程上线学生比例</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olor w:val="000000"/>
                <w:sz w:val="24"/>
                <w:szCs w:val="24"/>
              </w:rPr>
            </w:pPr>
            <w:r>
              <w:rPr>
                <w:rFonts w:hint="eastAsia" w:ascii="仿宋" w:hAnsi="仿宋" w:eastAsia="仿宋"/>
                <w:color w:val="000000"/>
                <w:sz w:val="24"/>
                <w:szCs w:val="24"/>
              </w:rPr>
              <w:t>该课程学习网上线学生总人数与学习网该课程选课学生总人数的百分比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3</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课程上线教师比例</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该课程学习网上线教师总人数与学习网该课程注册教师总人数的百分比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4</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课程学生人均在线行为次数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该课程学习网学生总在线行为次数/该课程学习网上线学生总人数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5</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课程学生人均上线天数</w:t>
            </w:r>
          </w:p>
        </w:tc>
        <w:tc>
          <w:tcPr>
            <w:tcW w:w="489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color w:val="000000"/>
                <w:sz w:val="24"/>
                <w:szCs w:val="24"/>
              </w:rPr>
            </w:pPr>
            <w:r>
              <w:rPr>
                <w:rFonts w:hint="eastAsia" w:ascii="仿宋" w:hAnsi="仿宋" w:eastAsia="仿宋"/>
                <w:color w:val="000000"/>
                <w:sz w:val="24"/>
                <w:szCs w:val="24"/>
              </w:rPr>
              <w:t>该课程学习网学生总在线天数/该课程学习网上线学生总人数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6</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课程教师人均在线行为次数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该课程学习网教师总在线行为次数/该课程学习网上线教师总人数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olor w:val="000000"/>
                <w:sz w:val="24"/>
                <w:szCs w:val="24"/>
              </w:rPr>
            </w:pPr>
            <w:r>
              <w:rPr>
                <w:rFonts w:ascii="仿宋" w:hAnsi="仿宋" w:eastAsia="仿宋"/>
                <w:color w:val="000000"/>
                <w:sz w:val="24"/>
                <w:szCs w:val="24"/>
              </w:rPr>
              <w:t>7</w:t>
            </w:r>
          </w:p>
        </w:tc>
        <w:tc>
          <w:tcPr>
            <w:tcW w:w="31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课程教师人均上线天数</w:t>
            </w:r>
          </w:p>
        </w:tc>
        <w:tc>
          <w:tcPr>
            <w:tcW w:w="48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 w:hAnsi="仿宋" w:eastAsia="仿宋"/>
                <w:color w:val="000000"/>
                <w:sz w:val="24"/>
                <w:szCs w:val="24"/>
              </w:rPr>
            </w:pPr>
            <w:r>
              <w:rPr>
                <w:rFonts w:hint="eastAsia" w:ascii="仿宋" w:hAnsi="仿宋" w:eastAsia="仿宋"/>
                <w:color w:val="000000"/>
                <w:sz w:val="24"/>
                <w:szCs w:val="24"/>
              </w:rPr>
              <w:t>该课程学习网教师总在线天数/该课程学习网上线教师总人数</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1447"/>
    <w:rsid w:val="00082278"/>
    <w:rsid w:val="001111EA"/>
    <w:rsid w:val="00270006"/>
    <w:rsid w:val="002B48FC"/>
    <w:rsid w:val="004C1867"/>
    <w:rsid w:val="00506F8A"/>
    <w:rsid w:val="006328BE"/>
    <w:rsid w:val="006C2918"/>
    <w:rsid w:val="006E1447"/>
    <w:rsid w:val="00700E86"/>
    <w:rsid w:val="00744926"/>
    <w:rsid w:val="008C259D"/>
    <w:rsid w:val="008E7864"/>
    <w:rsid w:val="00911192"/>
    <w:rsid w:val="009C28FD"/>
    <w:rsid w:val="00AE23C8"/>
    <w:rsid w:val="00B71918"/>
    <w:rsid w:val="00BF4C71"/>
    <w:rsid w:val="00C954F5"/>
    <w:rsid w:val="00DD24CB"/>
    <w:rsid w:val="00F02A15"/>
    <w:rsid w:val="00F43AB9"/>
    <w:rsid w:val="00F60F45"/>
    <w:rsid w:val="0A462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124</Words>
  <Characters>709</Characters>
  <Lines>5</Lines>
  <Paragraphs>1</Paragraphs>
  <TotalTime>14</TotalTime>
  <ScaleCrop>false</ScaleCrop>
  <LinksUpToDate>false</LinksUpToDate>
  <CharactersWithSpaces>832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2019-09-10T09:06:00Z</dcterms:created>
  <dc:creator>Administrator</dc:creator>
  <cp:lastModifiedBy>杨凡</cp:lastModifiedBy>
  <cp:lastPrinted>2020-09-11T01:32:00Z</cp:lastPrinted>
  <dcterms:modified xsi:type="dcterms:W3CDTF">2020-09-11T06:17:54Z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